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D15C217">
      <w:pPr>
        <w:spacing w:before="101" w:line="224" w:lineRule="auto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b/>
          <w:bCs/>
          <w:spacing w:val="28"/>
          <w:sz w:val="32"/>
          <w:szCs w:val="32"/>
        </w:rPr>
        <w:t>附件</w:t>
      </w:r>
      <w:r>
        <w:rPr>
          <w:rFonts w:hint="eastAsia" w:ascii="宋体" w:hAnsi="宋体" w:eastAsia="宋体" w:cs="宋体"/>
          <w:b/>
          <w:bCs/>
          <w:spacing w:val="28"/>
          <w:sz w:val="32"/>
          <w:szCs w:val="32"/>
          <w:lang w:val="en-US" w:eastAsia="zh-CN"/>
        </w:rPr>
        <w:t>3</w:t>
      </w:r>
    </w:p>
    <w:p w14:paraId="672CD117">
      <w:pPr>
        <w:spacing w:before="140" w:line="219" w:lineRule="auto"/>
        <w:ind w:left="2241"/>
        <w:rPr>
          <w:rFonts w:ascii="宋体" w:hAnsi="宋体" w:eastAsia="宋体" w:cs="宋体"/>
          <w:b/>
          <w:bCs/>
          <w:spacing w:val="-4"/>
          <w:sz w:val="44"/>
          <w:szCs w:val="44"/>
        </w:rPr>
      </w:pPr>
      <w:r>
        <w:rPr>
          <w:rFonts w:ascii="Times New Roman" w:hAnsi="Times New Roman" w:eastAsia="宋体" w:cs="Times New Roman"/>
          <w:b/>
          <w:bCs/>
          <w:spacing w:val="-4"/>
          <w:sz w:val="44"/>
          <w:szCs w:val="44"/>
        </w:rPr>
        <w:t>部分</w:t>
      </w:r>
      <w:r>
        <w:rPr>
          <w:rFonts w:ascii="宋体" w:hAnsi="宋体" w:eastAsia="宋体" w:cs="宋体"/>
          <w:b/>
          <w:bCs/>
          <w:spacing w:val="-4"/>
          <w:sz w:val="44"/>
          <w:szCs w:val="44"/>
        </w:rPr>
        <w:t>不合格项目小知识</w:t>
      </w:r>
    </w:p>
    <w:p w14:paraId="7D60BD1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bidi w:val="0"/>
        <w:snapToGrid/>
        <w:spacing w:line="240" w:lineRule="auto"/>
        <w:textAlignment w:val="auto"/>
        <w:rPr>
          <w:rFonts w:hint="eastAsia" w:ascii="仿宋_GB2312" w:hAnsi="仿宋_GB2312" w:eastAsia="仿宋_GB2312" w:cs="仿宋_GB2312"/>
          <w:b/>
          <w:bCs/>
          <w:spacing w:val="12"/>
          <w:sz w:val="28"/>
          <w:szCs w:val="28"/>
          <w:lang w:val="en-US" w:eastAsia="zh-CN"/>
        </w:rPr>
      </w:pPr>
    </w:p>
    <w:p w14:paraId="5019DA58">
      <w:pPr>
        <w:pStyle w:val="2"/>
        <w:numPr>
          <w:ilvl w:val="0"/>
          <w:numId w:val="0"/>
        </w:numPr>
        <w:ind w:firstLine="691" w:firstLineChars="200"/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b/>
          <w:bCs/>
          <w:color w:val="auto"/>
          <w:spacing w:val="12"/>
          <w:sz w:val="32"/>
          <w:szCs w:val="32"/>
          <w:lang w:val="en-US" w:eastAsia="zh-CN"/>
        </w:rPr>
        <w:t>1.</w:t>
      </w:r>
      <w:r>
        <w:rPr>
          <w:rFonts w:hint="eastAsia" w:ascii="仿宋" w:hAnsi="仿宋" w:eastAsia="仿宋" w:cs="仿宋"/>
          <w:b/>
          <w:bCs/>
          <w:color w:val="auto"/>
          <w:spacing w:val="12"/>
          <w:sz w:val="32"/>
          <w:szCs w:val="32"/>
        </w:rPr>
        <w:t>噻虫胺</w:t>
      </w:r>
      <w:r>
        <w:rPr>
          <w:rFonts w:hint="eastAsia" w:ascii="仿宋" w:hAnsi="仿宋" w:eastAsia="仿宋" w:cs="仿宋"/>
          <w:b/>
          <w:bCs/>
          <w:color w:val="auto"/>
          <w:spacing w:val="12"/>
          <w:sz w:val="32"/>
          <w:szCs w:val="32"/>
          <w:lang w:eastAsia="zh-CN"/>
        </w:rPr>
        <w:t>：</w:t>
      </w:r>
      <w:r>
        <w:rPr>
          <w:rFonts w:hint="eastAsia" w:ascii="仿宋" w:hAnsi="仿宋" w:eastAsia="仿宋" w:cs="仿宋"/>
          <w:b w:val="0"/>
          <w:bCs w:val="0"/>
          <w:color w:val="auto"/>
          <w:spacing w:val="12"/>
          <w:kern w:val="0"/>
          <w:sz w:val="32"/>
          <w:szCs w:val="32"/>
          <w:lang w:val="en-US" w:eastAsia="zh-CN" w:bidi="ar-SA"/>
        </w:rPr>
        <w:t>噻</w:t>
      </w:r>
      <w:r>
        <w:rPr>
          <w:rFonts w:hint="eastAsia" w:ascii="仿宋" w:hAnsi="仿宋" w:eastAsia="仿宋" w:cs="仿宋"/>
          <w:b w:val="0"/>
          <w:bCs w:val="0"/>
          <w:spacing w:val="12"/>
          <w:kern w:val="0"/>
          <w:sz w:val="32"/>
          <w:szCs w:val="32"/>
          <w:lang w:val="en-US" w:eastAsia="zh-CN" w:bidi="ar-SA"/>
        </w:rPr>
        <w:t>虫</w:t>
      </w:r>
      <w:r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  <w:t>胺是一种新烟碱类杀虫剂，具有触杀、胃毒和内吸活性，主要用于叶面喷雾及土壤灌根处理。它对蚜虫、斑潜蝇等害虫有较好的防效。根据《食品安全国家标准食品中农药最大残留限量》GB2763-2019规定，姜中噻虫胺的最大残留限量为0.2mg/kg。</w:t>
      </w:r>
    </w:p>
    <w:p w14:paraId="4135D15E">
      <w:pPr>
        <w:pStyle w:val="2"/>
        <w:numPr>
          <w:ilvl w:val="0"/>
          <w:numId w:val="0"/>
        </w:numPr>
        <w:ind w:firstLine="688" w:firstLineChars="200"/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  <w:t>噻虫胺不达标可能有以下主要原因：</w:t>
      </w:r>
    </w:p>
    <w:p w14:paraId="1E8042C9">
      <w:pPr>
        <w:ind w:firstLine="688" w:firstLineChars="200"/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spacing w:val="12"/>
          <w:kern w:val="0"/>
          <w:sz w:val="32"/>
          <w:szCs w:val="32"/>
          <w:lang w:val="en-US" w:eastAsia="zh-CN" w:bidi="ar-SA"/>
        </w:rPr>
        <w:t>在使用该农药后没有遵守足够的等待期（采摘间隔期），导致农产品中残留量超过食品安全标准。噻虫胺是一种新烟碱类杀虫剂，具有内吸性、触杀和胃毒作用。虽然少量的残留不会引起人体急性中毒，但如果长期食用含有超标噻虫胺的食品，可能会对人体健康产生一定的影响。此外，种植户为了快速控制虫害，有时会加大用药量，这也可能导致残留量超标。</w:t>
      </w:r>
    </w:p>
    <w:p w14:paraId="3793DE21">
      <w:pPr>
        <w:widowControl w:val="0"/>
        <w:spacing w:line="360" w:lineRule="auto"/>
        <w:ind w:firstLine="643" w:firstLineChars="200"/>
        <w:jc w:val="both"/>
        <w:rPr>
          <w:rFonts w:ascii="仿宋" w:hAnsi="仿宋" w:eastAsia="仿宋" w:cs="仿宋"/>
          <w:b/>
          <w:bCs/>
          <w:kern w:val="2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  <w:t>2.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</w:rPr>
        <w:t>阴离子合成洗涤剂（以</w:t>
      </w:r>
      <w:r>
        <w:rPr>
          <w:rFonts w:hint="eastAsia" w:ascii="仿宋" w:hAnsi="仿宋" w:eastAsia="仿宋" w:cs="仿宋"/>
          <w:b/>
          <w:bCs/>
          <w:kern w:val="2"/>
          <w:sz w:val="32"/>
          <w:szCs w:val="32"/>
        </w:rPr>
        <w:t>十二烷基苯磺酸钠计）</w:t>
      </w:r>
    </w:p>
    <w:p w14:paraId="79185FE7">
      <w:pPr>
        <w:widowControl w:val="0"/>
        <w:spacing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</w:rPr>
        <w:t>阴离子合成洗涤剂是日常生活中经常用到的洗衣粉、洗洁精、洗衣液、肥皂等洗涤剂的主要成分，其主要成分十二烷基磺酸钠，是一种低毒物质，因其使用方便、易溶解、稳定性好、成本低等优点，在消毒企业中广泛使用，但是如果餐具清洗消毒流程控制不当，会造成洗涤剂在餐具上的残留过量，对人体健康产生不良影响。GB 14934-2016《食品安全国家标准消毒餐（饮）具》规定，采用化学消毒法的餐（饮）具的阴离子合成洗涤剂应不得检出。</w:t>
      </w:r>
    </w:p>
    <w:p w14:paraId="309257DF">
      <w:pPr>
        <w:widowControl w:val="0"/>
        <w:spacing w:line="360" w:lineRule="auto"/>
        <w:ind w:firstLine="640" w:firstLineChars="200"/>
        <w:jc w:val="both"/>
        <w:rPr>
          <w:rFonts w:ascii="仿宋" w:hAnsi="仿宋" w:eastAsia="仿宋" w:cs="仿宋"/>
          <w:kern w:val="2"/>
          <w:sz w:val="32"/>
          <w:szCs w:val="32"/>
        </w:rPr>
      </w:pPr>
      <w:r>
        <w:rPr>
          <w:rFonts w:hint="eastAsia" w:ascii="仿宋" w:hAnsi="仿宋" w:eastAsia="仿宋" w:cs="仿宋"/>
          <w:kern w:val="2"/>
          <w:sz w:val="32"/>
          <w:szCs w:val="32"/>
        </w:rPr>
        <w:t>造成阴离子合成洗涤剂超标的主要原因：一是清洗餐具所用洗涤剂、消毒剂不合格。如果用于清洗餐具的洗涤剂、消毒剂不符合标准，这样不仅清洗不干净餐具反而会造成二次污染。二是洗涤剂或消毒剂未彻底冲洗干净。可能是由于使用了过量的洗涤剂、消毒剂或水冲洗不充分、不彻底造成。</w:t>
      </w:r>
    </w:p>
    <w:p w14:paraId="2EB1D6CA"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3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  <w:t>.氧乐果</w:t>
      </w:r>
    </w:p>
    <w:p w14:paraId="60B51720">
      <w:pPr>
        <w:spacing w:line="540" w:lineRule="exact"/>
        <w:ind w:firstLine="640" w:firstLineChars="200"/>
        <w:rPr>
          <w:rFonts w:hint="eastAsia" w:ascii="仿宋_GB2312" w:hAnsi="仿宋_GB2312" w:eastAsia="仿宋_GB2312" w:cs="仿宋_GB2312"/>
          <w:kern w:val="2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_GB2312"/>
          <w:sz w:val="32"/>
          <w:szCs w:val="32"/>
        </w:rPr>
        <w:t>氧乐果是一种有机磷杀虫、杀螨剂，具有较强的内吸、触杀和一定的胃毒作用。《食品安全国家标准 食品中农药最大残留限量》（GB 2763—2019）中规定，油麦菜中氧乐果的最大残留限量值为0.02mg/kg。</w:t>
      </w:r>
      <w:r>
        <w:rPr>
          <w:rFonts w:hint="eastAsia" w:ascii="Times New Roman" w:hAnsi="Times New Roman" w:eastAsia="仿宋_GB2312"/>
          <w:sz w:val="32"/>
          <w:szCs w:val="32"/>
        </w:rPr>
        <w:t>油麦菜</w:t>
      </w:r>
      <w:r>
        <w:rPr>
          <w:rFonts w:hint="eastAsia" w:ascii="Times New Roman" w:hAnsi="Times New Roman" w:eastAsia="仿宋_GB2312"/>
          <w:sz w:val="32"/>
          <w:szCs w:val="32"/>
        </w:rPr>
        <w:t>中氧乐果超标的原因，可能是菜农对使用农药的安全间隔期不了解，从而违规使用或滥用农药。</w:t>
      </w:r>
    </w:p>
    <w:p w14:paraId="77AFE5DD">
      <w:pPr>
        <w:keepNext w:val="0"/>
        <w:keepLines w:val="0"/>
        <w:pageBreakBefore w:val="0"/>
        <w:widowControl w:val="0"/>
        <w:kinsoku/>
        <w:wordWrap/>
        <w:topLinePunct w:val="0"/>
        <w:bidi w:val="0"/>
        <w:snapToGrid/>
        <w:spacing w:line="360" w:lineRule="auto"/>
        <w:ind w:firstLine="643" w:firstLineChars="200"/>
        <w:jc w:val="both"/>
        <w:textAlignment w:val="auto"/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kern w:val="2"/>
          <w:sz w:val="32"/>
          <w:szCs w:val="32"/>
          <w:lang w:val="en-US" w:eastAsia="zh-CN"/>
        </w:rPr>
        <w:t>4.</w:t>
      </w:r>
      <w:r>
        <w:rPr>
          <w:rFonts w:hint="eastAsia" w:ascii="仿宋" w:hAnsi="仿宋" w:eastAsia="仿宋" w:cs="仿宋"/>
          <w:b/>
          <w:bCs/>
          <w:color w:val="auto"/>
          <w:kern w:val="2"/>
          <w:sz w:val="32"/>
          <w:szCs w:val="32"/>
          <w:lang w:val="en-US" w:eastAsia="zh-CN"/>
        </w:rPr>
        <w:t>毒死蜱</w:t>
      </w:r>
    </w:p>
    <w:p w14:paraId="450BBA9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left"/>
        <w:textAlignment w:val="auto"/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毒死蜱是一种具有触杀、胃毒和熏蒸作用的有机磷杀虫剂。《食品安全国家</w:t>
      </w:r>
      <w:r>
        <w:rPr>
          <w:rFonts w:hint="eastAsia" w:ascii="仿宋_GB2312" w:hAnsi="仿宋_GB2312" w:eastAsia="仿宋_GB2312" w:cs="仿宋_GB2312"/>
          <w:sz w:val="32"/>
          <w:szCs w:val="32"/>
        </w:rPr>
        <w:t>标准 食品中农药最大残留限量》（GB 2763—2019）中规定，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姜</w:t>
      </w:r>
      <w:r>
        <w:rPr>
          <w:rFonts w:hint="eastAsia" w:ascii="仿宋_GB2312" w:hAnsi="仿宋_GB2312" w:eastAsia="仿宋_GB2312" w:cs="仿宋_GB2312"/>
          <w:sz w:val="32"/>
          <w:szCs w:val="32"/>
        </w:rPr>
        <w:t>中毒死蜱残留限量值不得超过0.02mg/kg。毒死蜱属中毒农药，长期暴露在含有毒死蜱的环境中，可能会导致神经毒性、生殖毒性，并会影响胚胎的生长发育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diOWNkNzU0MmRlZTQ5MzhjZGYzYzQwNTBmYmUyMjYifQ=="/>
  </w:docVars>
  <w:rsids>
    <w:rsidRoot w:val="00000000"/>
    <w:rsid w:val="01546515"/>
    <w:rsid w:val="030F1B5B"/>
    <w:rsid w:val="06856661"/>
    <w:rsid w:val="192442DB"/>
    <w:rsid w:val="1CA36820"/>
    <w:rsid w:val="48E324BF"/>
    <w:rsid w:val="62B1316A"/>
    <w:rsid w:val="6DD931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semiHidden="0" w:name="Body Text"/>
    <w:lsdException w:qFormat="1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adjustRightInd w:val="0"/>
    </w:pPr>
    <w:rPr>
      <w:rFonts w:ascii="Times New Roman" w:hAnsi="Times New Roman" w:cs="Times New Roman" w:eastAsiaTheme="minorEastAsia"/>
      <w:kern w:val="0"/>
      <w:sz w:val="24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nhideWhenUsed/>
    <w:qFormat/>
    <w:uiPriority w:val="99"/>
    <w:rPr>
      <w:rFonts w:ascii="宋体" w:hAnsi="宋体" w:eastAsia="宋体" w:cs="宋体"/>
      <w:sz w:val="21"/>
      <w:szCs w:val="21"/>
      <w:lang w:val="zh-CN" w:eastAsia="zh-CN" w:bidi="zh-CN"/>
    </w:rPr>
  </w:style>
  <w:style w:type="paragraph" w:styleId="3">
    <w:name w:val="Body Text Indent"/>
    <w:basedOn w:val="1"/>
    <w:unhideWhenUsed/>
    <w:qFormat/>
    <w:uiPriority w:val="99"/>
    <w:pPr>
      <w:spacing w:after="120"/>
      <w:ind w:left="420" w:leftChars="200"/>
    </w:pPr>
  </w:style>
  <w:style w:type="paragraph" w:styleId="4">
    <w:name w:val="Body Text First Indent 2"/>
    <w:basedOn w:val="3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1107</Words>
  <Characters>1201</Characters>
  <Lines>0</Lines>
  <Paragraphs>0</Paragraphs>
  <TotalTime>2</TotalTime>
  <ScaleCrop>false</ScaleCrop>
  <LinksUpToDate>false</LinksUpToDate>
  <CharactersWithSpaces>1212</CharactersWithSpaces>
  <Application>WPS Office_12.1.0.18276_F1E327BC-269C-435d-A152-05C5408002CA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2024-05-24T01:02:00Z</dcterms:created>
  <dc:creator>Admin-km</dc:creator>
  <cp:lastModifiedBy>8237476611</cp:lastModifiedBy>
  <dcterms:modified xsi:type="dcterms:W3CDTF">2024-10-10T01:45:17Z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B24B219B9D34406EA83F01F56D49A3B1_12</vt:lpwstr>
  </property>
</Properties>
</file>