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AC0A2C">
      <w:pPr>
        <w:spacing w:before="101" w:line="224" w:lineRule="auto"/>
        <w:rPr>
          <w:rFonts w:hint="eastAsia" w:ascii="宋体" w:hAnsi="宋体" w:eastAsia="宋体" w:cs="宋体"/>
          <w:sz w:val="32"/>
          <w:szCs w:val="32"/>
          <w:lang w:eastAsia="zh-CN"/>
        </w:rPr>
      </w:pPr>
      <w:r>
        <w:rPr>
          <w:rFonts w:hint="eastAsia" w:ascii="宋体" w:hAnsi="宋体" w:eastAsia="宋体" w:cs="宋体"/>
          <w:b/>
          <w:bCs/>
          <w:spacing w:val="28"/>
          <w:sz w:val="32"/>
          <w:szCs w:val="32"/>
        </w:rPr>
        <w:t>附件</w:t>
      </w:r>
      <w:r>
        <w:rPr>
          <w:rFonts w:hint="eastAsia" w:ascii="宋体" w:hAnsi="宋体" w:eastAsia="宋体" w:cs="宋体"/>
          <w:b/>
          <w:bCs/>
          <w:spacing w:val="28"/>
          <w:sz w:val="32"/>
          <w:szCs w:val="32"/>
          <w:lang w:val="en-US" w:eastAsia="zh-CN"/>
        </w:rPr>
        <w:t>3</w:t>
      </w:r>
    </w:p>
    <w:p w14:paraId="70B11CB0">
      <w:pPr>
        <w:spacing w:before="140" w:line="219" w:lineRule="auto"/>
        <w:ind w:left="2241"/>
        <w:rPr>
          <w:rFonts w:ascii="宋体" w:hAnsi="宋体" w:eastAsia="宋体" w:cs="宋体"/>
          <w:b/>
          <w:bCs/>
          <w:spacing w:val="-4"/>
          <w:sz w:val="44"/>
          <w:szCs w:val="44"/>
        </w:rPr>
      </w:pPr>
      <w:r>
        <w:rPr>
          <w:rFonts w:ascii="Times New Roman" w:hAnsi="Times New Roman" w:eastAsia="宋体" w:cs="Times New Roman"/>
          <w:b/>
          <w:bCs/>
          <w:spacing w:val="-4"/>
          <w:sz w:val="44"/>
          <w:szCs w:val="44"/>
        </w:rPr>
        <w:t>部分</w:t>
      </w:r>
      <w:r>
        <w:rPr>
          <w:rFonts w:ascii="宋体" w:hAnsi="宋体" w:eastAsia="宋体" w:cs="宋体"/>
          <w:b/>
          <w:bCs/>
          <w:spacing w:val="-4"/>
          <w:sz w:val="44"/>
          <w:szCs w:val="44"/>
        </w:rPr>
        <w:t>不合格项目小知识</w:t>
      </w:r>
    </w:p>
    <w:p w14:paraId="7B541525">
      <w:pPr>
        <w:keepNext w:val="0"/>
        <w:keepLines w:val="0"/>
        <w:pageBreakBefore w:val="0"/>
        <w:widowControl w:val="0"/>
        <w:numPr>
          <w:ilvl w:val="0"/>
          <w:numId w:val="0"/>
        </w:numPr>
        <w:kinsoku/>
        <w:wordWrap/>
        <w:overflowPunct/>
        <w:topLinePunct w:val="0"/>
        <w:bidi w:val="0"/>
        <w:snapToGrid/>
        <w:spacing w:line="240" w:lineRule="auto"/>
        <w:textAlignment w:val="auto"/>
        <w:rPr>
          <w:rFonts w:hint="eastAsia" w:ascii="仿宋_GB2312" w:hAnsi="仿宋_GB2312" w:eastAsia="仿宋_GB2312" w:cs="仿宋_GB2312"/>
          <w:b/>
          <w:bCs/>
          <w:spacing w:val="12"/>
          <w:sz w:val="28"/>
          <w:szCs w:val="28"/>
          <w:lang w:val="en-US" w:eastAsia="zh-CN"/>
        </w:rPr>
      </w:pPr>
    </w:p>
    <w:p w14:paraId="3833B430">
      <w:pPr>
        <w:pStyle w:val="5"/>
        <w:keepNext w:val="0"/>
        <w:keepLines w:val="0"/>
        <w:pageBreakBefore w:val="0"/>
        <w:widowControl/>
        <w:kinsoku/>
        <w:wordWrap/>
        <w:overflowPunct/>
        <w:topLinePunct w:val="0"/>
        <w:autoSpaceDE/>
        <w:autoSpaceDN/>
        <w:bidi w:val="0"/>
        <w:adjustRightInd w:val="0"/>
        <w:snapToGrid w:val="0"/>
        <w:ind w:firstLine="643" w:firstLineChars="200"/>
        <w:jc w:val="both"/>
        <w:textAlignment w:val="auto"/>
        <w:rPr>
          <w:rFonts w:hint="eastAsia" w:ascii="Times New Roman" w:hAnsi="Times New Roman" w:eastAsia="仿宋" w:cs="Times New Roman"/>
          <w:spacing w:val="0"/>
          <w:sz w:val="32"/>
          <w:szCs w:val="32"/>
          <w:lang w:eastAsia="zh-CN"/>
        </w:rPr>
      </w:pPr>
      <w:r>
        <w:rPr>
          <w:rFonts w:hint="eastAsia" w:eastAsia="仿宋" w:cs="Times New Roman"/>
          <w:b/>
          <w:bCs/>
          <w:spacing w:val="0"/>
          <w:sz w:val="32"/>
          <w:szCs w:val="32"/>
          <w:lang w:val="en-US" w:eastAsia="zh-CN"/>
        </w:rPr>
        <w:t>1.阴离子合成洗涤剂（以十二烷基苯磺酸钠计）</w:t>
      </w:r>
      <w:r>
        <w:rPr>
          <w:rFonts w:hint="eastAsia" w:ascii="仿宋" w:hAnsi="仿宋" w:eastAsia="仿宋" w:cs="仿宋"/>
          <w:b/>
          <w:bCs/>
          <w:spacing w:val="0"/>
          <w:kern w:val="0"/>
          <w:sz w:val="32"/>
          <w:szCs w:val="32"/>
          <w:lang w:val="en-US" w:eastAsia="zh-CN" w:bidi="ar-SA"/>
        </w:rPr>
        <w:t>：</w:t>
      </w:r>
      <w:r>
        <w:rPr>
          <w:rFonts w:hint="eastAsia" w:ascii="Times New Roman" w:hAnsi="Times New Roman" w:eastAsia="仿宋" w:cs="Times New Roman"/>
          <w:spacing w:val="0"/>
          <w:sz w:val="32"/>
          <w:szCs w:val="32"/>
        </w:rPr>
        <w:t>阴离子合成洗涤剂，即我们日常生活中经常用到的洗衣粉、洗洁精等洗涤剂的主要成分，其主要成分十二烷基磺酸钠，是一种低毒物质，因其使用方便、易溶解、稳定性好、成本低等优点，在消毒企业中广泛使用，但是如果餐（饮）具清洗消毒流程控制不当，会造成洗涤剂在餐（饮）具上的残留，对人体健康产生不良影响。《食品安全国家标准 消毒餐（饮）具》（GB 14934—2016）中规定采用化学消毒法的餐（饮）具的阴离子合成洗涤剂应不得检出。餐（饮）具中检出阴离子合成洗涤剂的原因，可能是部分单位使用的洗涤剂不合格或使用量过大，未经足够量清水冲洗或餐具漂洗池内清洗用水重复使用或餐具数量多，造成交叉污染，进而残存在餐（饮）具中</w:t>
      </w:r>
      <w:r>
        <w:rPr>
          <w:rFonts w:hint="eastAsia" w:eastAsia="仿宋" w:cs="Times New Roman"/>
          <w:spacing w:val="0"/>
          <w:sz w:val="32"/>
          <w:szCs w:val="32"/>
          <w:lang w:eastAsia="zh-CN"/>
        </w:rPr>
        <w:t>。</w:t>
      </w:r>
    </w:p>
    <w:p w14:paraId="29E29EDB">
      <w:pPr>
        <w:keepNext w:val="0"/>
        <w:keepLines w:val="0"/>
        <w:pageBreakBefore w:val="0"/>
        <w:widowControl w:val="0"/>
        <w:kinsoku/>
        <w:wordWrap/>
        <w:overflowPunct/>
        <w:topLinePunct w:val="0"/>
        <w:autoSpaceDE w:val="0"/>
        <w:autoSpaceDN w:val="0"/>
        <w:bidi w:val="0"/>
        <w:adjustRightInd w:val="0"/>
        <w:spacing w:line="360" w:lineRule="auto"/>
        <w:ind w:firstLine="643" w:firstLineChars="200"/>
        <w:textAlignment w:val="auto"/>
        <w:rPr>
          <w:rFonts w:hint="eastAsia" w:eastAsia="仿宋"/>
          <w:spacing w:val="0"/>
          <w:sz w:val="32"/>
          <w:szCs w:val="32"/>
        </w:rPr>
      </w:pPr>
      <w:r>
        <w:rPr>
          <w:rFonts w:hint="eastAsia" w:ascii="仿宋" w:hAnsi="仿宋" w:eastAsia="仿宋" w:cs="仿宋"/>
          <w:b/>
          <w:bCs/>
          <w:spacing w:val="0"/>
          <w:sz w:val="32"/>
          <w:szCs w:val="32"/>
          <w:lang w:val="en-US" w:eastAsia="zh-CN"/>
        </w:rPr>
        <w:t>2.</w:t>
      </w:r>
      <w:r>
        <w:rPr>
          <w:rFonts w:hint="eastAsia" w:ascii="仿宋" w:hAnsi="仿宋" w:eastAsia="仿宋" w:cs="仿宋"/>
          <w:b/>
          <w:bCs/>
          <w:spacing w:val="0"/>
          <w:sz w:val="32"/>
          <w:szCs w:val="32"/>
        </w:rPr>
        <w:t>咪鲜胺和咪鲜胺锰盐</w:t>
      </w:r>
      <w:r>
        <w:rPr>
          <w:rFonts w:hint="eastAsia" w:ascii="仿宋" w:hAnsi="仿宋" w:eastAsia="仿宋" w:cs="仿宋"/>
          <w:b/>
          <w:bCs/>
          <w:spacing w:val="0"/>
          <w:sz w:val="32"/>
          <w:szCs w:val="32"/>
          <w:lang w:eastAsia="zh-CN"/>
        </w:rPr>
        <w:t>：</w:t>
      </w:r>
      <w:r>
        <w:rPr>
          <w:rFonts w:hint="eastAsia" w:eastAsia="仿宋"/>
          <w:spacing w:val="0"/>
          <w:sz w:val="32"/>
          <w:szCs w:val="32"/>
        </w:rPr>
        <w:t>咪鲜胺和咪鲜胺锰盐，是一种广谱高效杀菌剂。一般只对皮肤、眼有刺激症状，经口中毒低，无中毒报道。相关研究未见遗传毒性和致癌性。少量的农药残留不会引起人体急性中毒，但长期食用咪鲜胺超标的食品，对人体健康可能有一定影响。《食品安全国家标准食品中农药最大残留限量》（GB 2763—2021）中规定咪鲜胺在山药中的残留限量值为≤0.3mg/kg。</w:t>
      </w:r>
    </w:p>
    <w:p w14:paraId="2C340ECE">
      <w:pPr>
        <w:keepNext w:val="0"/>
        <w:keepLines w:val="0"/>
        <w:pageBreakBefore w:val="0"/>
        <w:widowControl w:val="0"/>
        <w:kinsoku/>
        <w:wordWrap/>
        <w:overflowPunct/>
        <w:topLinePunct w:val="0"/>
        <w:autoSpaceDE w:val="0"/>
        <w:autoSpaceDN w:val="0"/>
        <w:bidi w:val="0"/>
        <w:adjustRightInd w:val="0"/>
        <w:spacing w:line="360" w:lineRule="auto"/>
        <w:ind w:firstLine="640" w:firstLineChars="200"/>
        <w:textAlignment w:val="auto"/>
        <w:rPr>
          <w:rFonts w:hint="eastAsia" w:ascii="仿宋" w:hAnsi="仿宋" w:eastAsia="仿宋" w:cs="仿宋"/>
          <w:spacing w:val="0"/>
          <w:kern w:val="0"/>
          <w:sz w:val="32"/>
          <w:szCs w:val="32"/>
          <w:lang w:val="en-US" w:eastAsia="zh-CN" w:bidi="ar-SA"/>
        </w:rPr>
      </w:pPr>
      <w:r>
        <w:rPr>
          <w:rFonts w:hint="eastAsia" w:eastAsia="仿宋"/>
          <w:spacing w:val="0"/>
          <w:sz w:val="32"/>
          <w:szCs w:val="32"/>
        </w:rPr>
        <w:t>咪鲜胺超标的原因，可能是菜农对使用农药的安全间隔期不了解，从而违规使用或滥用农药</w:t>
      </w:r>
      <w:r>
        <w:rPr>
          <w:rFonts w:hint="eastAsia" w:ascii="仿宋" w:hAnsi="仿宋" w:eastAsia="仿宋" w:cs="仿宋"/>
          <w:spacing w:val="0"/>
          <w:kern w:val="0"/>
          <w:sz w:val="32"/>
          <w:szCs w:val="32"/>
          <w:lang w:val="en-US" w:eastAsia="zh-CN" w:bidi="ar-SA"/>
        </w:rPr>
        <w:t>。</w:t>
      </w:r>
    </w:p>
    <w:p w14:paraId="5396ABB1">
      <w:pPr>
        <w:keepNext w:val="0"/>
        <w:keepLines w:val="0"/>
        <w:pageBreakBefore w:val="0"/>
        <w:widowControl w:val="0"/>
        <w:kinsoku/>
        <w:wordWrap/>
        <w:overflowPunct/>
        <w:topLinePunct w:val="0"/>
        <w:autoSpaceDE w:val="0"/>
        <w:autoSpaceDN w:val="0"/>
        <w:bidi w:val="0"/>
        <w:adjustRightInd w:val="0"/>
        <w:spacing w:line="360" w:lineRule="auto"/>
        <w:ind w:firstLine="643" w:firstLineChars="200"/>
        <w:textAlignment w:val="auto"/>
        <w:rPr>
          <w:rFonts w:hint="eastAsia" w:ascii="仿宋" w:hAnsi="仿宋" w:eastAsia="仿宋" w:cs="仿宋"/>
          <w:spacing w:val="0"/>
          <w:kern w:val="0"/>
          <w:sz w:val="32"/>
          <w:szCs w:val="32"/>
          <w:lang w:val="en-US" w:eastAsia="zh-CN" w:bidi="ar-SA"/>
        </w:rPr>
      </w:pPr>
      <w:r>
        <w:rPr>
          <w:rFonts w:hint="eastAsia" w:ascii="仿宋" w:hAnsi="仿宋" w:eastAsia="仿宋" w:cs="仿宋"/>
          <w:b/>
          <w:bCs/>
          <w:spacing w:val="0"/>
          <w:kern w:val="0"/>
          <w:sz w:val="32"/>
          <w:szCs w:val="32"/>
          <w:lang w:val="en-US" w:eastAsia="zh-CN" w:bidi="ar-SA"/>
        </w:rPr>
        <w:t>3.镉(以Cd计)：</w:t>
      </w:r>
      <w:r>
        <w:rPr>
          <w:rFonts w:hint="eastAsia" w:ascii="仿宋" w:hAnsi="仿宋" w:eastAsia="仿宋" w:cs="仿宋"/>
          <w:spacing w:val="0"/>
          <w:kern w:val="0"/>
          <w:sz w:val="32"/>
          <w:szCs w:val="32"/>
          <w:lang w:val="en-US" w:eastAsia="zh-CN" w:bidi="ar-SA"/>
        </w:rPr>
        <w:t>镉是一种蓄积性的重金属元素，可通过食物链进入人体。长期食用镉超标的食品，可能会对人体肾脏和肝脏造成损害，还会影响免疫系统，</w:t>
      </w:r>
      <w:bookmarkStart w:id="0" w:name="_GoBack"/>
      <w:bookmarkEnd w:id="0"/>
      <w:r>
        <w:rPr>
          <w:rFonts w:hint="eastAsia" w:ascii="仿宋" w:hAnsi="仿宋" w:eastAsia="仿宋" w:cs="仿宋"/>
          <w:spacing w:val="0"/>
          <w:kern w:val="0"/>
          <w:sz w:val="32"/>
          <w:szCs w:val="32"/>
          <w:lang w:val="en-US" w:eastAsia="zh-CN" w:bidi="ar-SA"/>
        </w:rPr>
        <w:t>甚至可能对儿童高级神经活动有损害。《食品安全国家标准 食品中污染物限量》（GB 2762—2017）中规定，镉（以Cd计）在鱿鱼中的最大限量值为2.0mg/kg。鱿鱼中镉（以Cd计）检测值超标的原因，可能是其生长过程中富集环境中的镉元素所致。</w:t>
      </w:r>
    </w:p>
    <w:p w14:paraId="4C4C22CE">
      <w:pPr>
        <w:keepNext w:val="0"/>
        <w:keepLines w:val="0"/>
        <w:pageBreakBefore w:val="0"/>
        <w:widowControl w:val="0"/>
        <w:kinsoku/>
        <w:wordWrap/>
        <w:overflowPunct/>
        <w:topLinePunct w:val="0"/>
        <w:autoSpaceDE w:val="0"/>
        <w:autoSpaceDN w:val="0"/>
        <w:bidi w:val="0"/>
        <w:adjustRightInd w:val="0"/>
        <w:spacing w:line="360" w:lineRule="auto"/>
        <w:ind w:firstLine="643" w:firstLineChars="200"/>
        <w:textAlignment w:val="auto"/>
        <w:rPr>
          <w:rFonts w:hint="default"/>
          <w:spacing w:val="0"/>
          <w:sz w:val="32"/>
          <w:szCs w:val="32"/>
          <w:lang w:val="zh-TW" w:eastAsia="zh-CN"/>
        </w:rPr>
      </w:pPr>
      <w:r>
        <w:rPr>
          <w:rFonts w:hint="eastAsia" w:ascii="仿宋" w:hAnsi="仿宋" w:eastAsia="仿宋" w:cs="仿宋"/>
          <w:b/>
          <w:bCs/>
          <w:spacing w:val="0"/>
          <w:kern w:val="0"/>
          <w:sz w:val="32"/>
          <w:szCs w:val="32"/>
          <w:lang w:val="en-US" w:eastAsia="zh-CN" w:bidi="ar-SA"/>
        </w:rPr>
        <w:t>4.噻虫胺：</w:t>
      </w:r>
      <w:r>
        <w:rPr>
          <w:rFonts w:hint="eastAsia" w:ascii="仿宋" w:hAnsi="仿宋" w:eastAsia="仿宋" w:cs="仿宋"/>
          <w:spacing w:val="0"/>
          <w:kern w:val="0"/>
          <w:sz w:val="32"/>
          <w:szCs w:val="32"/>
          <w:lang w:val="en-US" w:eastAsia="zh-CN" w:bidi="ar-SA"/>
        </w:rPr>
        <w:t>噻虫胺属新烟碱类杀虫剂，具有内吸性、触杀和胃毒作用，对姜蛆等有较好防效。少量的残留不会引起人体急性中毒，但长期食用噻虫胺超标的食品，对人体健康可能有一定影响。《食品安全国家标准 食品中农药最大残留限量》（GB 2763—2021）中规定，噻虫胺在根茎类蔬菜中的最大残留限量值为0.2mg/kg。姜中噻虫胺残留量超标的原因，可能是为快速控制虫害，加大用药量或未遵守采摘间隔期规定，致使上市销售的产品中残留量超标。</w:t>
      </w:r>
    </w:p>
    <w:p w14:paraId="619EA4E8">
      <w:pPr>
        <w:keepNext w:val="0"/>
        <w:keepLines w:val="0"/>
        <w:pageBreakBefore w:val="0"/>
        <w:widowControl w:val="0"/>
        <w:kinsoku/>
        <w:wordWrap/>
        <w:overflowPunct/>
        <w:topLinePunct w:val="0"/>
        <w:autoSpaceDE w:val="0"/>
        <w:autoSpaceDN w:val="0"/>
        <w:bidi w:val="0"/>
        <w:adjustRightInd w:val="0"/>
        <w:spacing w:line="360" w:lineRule="auto"/>
        <w:ind w:firstLine="643" w:firstLineChars="200"/>
        <w:textAlignment w:val="auto"/>
        <w:rPr>
          <w:rFonts w:hint="default"/>
          <w:spacing w:val="0"/>
          <w:sz w:val="32"/>
          <w:szCs w:val="32"/>
          <w:lang w:val="zh-TW" w:eastAsia="zh-CN"/>
        </w:rPr>
      </w:pPr>
      <w:r>
        <w:rPr>
          <w:rFonts w:hint="eastAsia" w:ascii="仿宋" w:hAnsi="仿宋" w:eastAsia="仿宋" w:cs="仿宋"/>
          <w:b/>
          <w:bCs/>
          <w:spacing w:val="0"/>
          <w:kern w:val="0"/>
          <w:sz w:val="32"/>
          <w:szCs w:val="32"/>
          <w:lang w:val="en-US" w:eastAsia="zh-CN" w:bidi="ar-SA"/>
        </w:rPr>
        <w:t>5.甲硝唑：</w:t>
      </w:r>
      <w:r>
        <w:rPr>
          <w:rFonts w:hint="eastAsia" w:ascii="仿宋" w:hAnsi="仿宋" w:eastAsia="仿宋" w:cs="仿宋"/>
          <w:spacing w:val="0"/>
          <w:kern w:val="0"/>
          <w:sz w:val="32"/>
          <w:szCs w:val="32"/>
          <w:lang w:val="en-US" w:eastAsia="zh-CN" w:bidi="ar-SA"/>
        </w:rPr>
        <w:t>甲硝唑是硝基咪唑类抗原虫药。长期大量食用检出甲硝唑的食品，可能在人体内蓄积，导致消化道症状、神经系统症状、皮肤症状等。《食品安全国家标准 食品中兽药最大残留限量》（GB 31650—2019）中规定，甲硝唑为允许作治疗用，但不得在动物性食品中检出的兽药。鸡蛋中检出甲硝唑的原因，可能是在产蛋鸡养殖过程中为快速控制疫病，违规加大用药量或不遵守休药期规定，致使鸡蛋在上市销售产品中检出。</w:t>
      </w:r>
    </w:p>
    <w:p w14:paraId="679DB537">
      <w:pPr>
        <w:keepNext w:val="0"/>
        <w:keepLines w:val="0"/>
        <w:pageBreakBefore w:val="0"/>
        <w:widowControl w:val="0"/>
        <w:kinsoku/>
        <w:wordWrap/>
        <w:overflowPunct/>
        <w:topLinePunct w:val="0"/>
        <w:autoSpaceDE w:val="0"/>
        <w:autoSpaceDN w:val="0"/>
        <w:bidi w:val="0"/>
        <w:adjustRightInd w:val="0"/>
        <w:spacing w:line="360" w:lineRule="auto"/>
        <w:ind w:firstLine="643" w:firstLineChars="200"/>
        <w:textAlignment w:val="auto"/>
        <w:rPr>
          <w:rFonts w:hint="default" w:ascii="仿宋" w:hAnsi="仿宋" w:eastAsia="仿宋" w:cs="仿宋"/>
          <w:spacing w:val="0"/>
          <w:kern w:val="0"/>
          <w:sz w:val="32"/>
          <w:szCs w:val="32"/>
          <w:lang w:val="zh-TW" w:eastAsia="zh-CN" w:bidi="ar-SA"/>
        </w:rPr>
      </w:pPr>
      <w:r>
        <w:rPr>
          <w:rFonts w:hint="eastAsia" w:ascii="仿宋" w:hAnsi="仿宋" w:eastAsia="仿宋" w:cs="仿宋"/>
          <w:b/>
          <w:bCs/>
          <w:spacing w:val="0"/>
          <w:kern w:val="0"/>
          <w:sz w:val="32"/>
          <w:szCs w:val="32"/>
          <w:lang w:val="en-US" w:eastAsia="zh-CN" w:bidi="ar-SA"/>
        </w:rPr>
        <w:t>6.二氧化硫残留量：</w:t>
      </w:r>
      <w:r>
        <w:rPr>
          <w:rFonts w:hint="eastAsia" w:ascii="仿宋" w:hAnsi="仿宋" w:eastAsia="仿宋" w:cs="仿宋"/>
          <w:spacing w:val="0"/>
          <w:kern w:val="0"/>
          <w:sz w:val="32"/>
          <w:szCs w:val="32"/>
          <w:lang w:val="en-US" w:eastAsia="zh-CN" w:bidi="ar-SA"/>
        </w:rPr>
        <w:t>二氧化硫是食品加工中常用的漂白剂和防腐剂，进入人体内后最终转化为硫酸盐并随尿液排出体外。少量二氧化硫进入人体不会对身体带来健康危害，但若过量食用会引起如恶心、呕吐等胃肠道反应。二氧化硫不合格原因可能是个别生产者使用劣质原料以降低成本，其后为了提高产品色泽超量使用二氧化硫；也有可能是使用时不计量或计量不准确；还有可能是为增加香辛料的保质期，防止霉变生虫，违规对其进行二氧化硫熏蒸或添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